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B5B" w:rsidRDefault="005B3B5B" w:rsidP="005B3B5B">
      <w:pPr>
        <w:jc w:val="center"/>
        <w:rPr>
          <w:b/>
          <w:bCs/>
        </w:rPr>
      </w:pPr>
      <w:r>
        <w:rPr>
          <w:b/>
          <w:bCs/>
          <w:noProof/>
          <w:lang w:eastAsia="en-NZ"/>
        </w:rPr>
        <w:drawing>
          <wp:inline distT="0" distB="0" distL="0" distR="0">
            <wp:extent cx="3132476" cy="125340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lige logo final.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6098" cy="1270864"/>
                    </a:xfrm>
                    <a:prstGeom prst="rect">
                      <a:avLst/>
                    </a:prstGeom>
                  </pic:spPr>
                </pic:pic>
              </a:graphicData>
            </a:graphic>
          </wp:inline>
        </w:drawing>
      </w:r>
    </w:p>
    <w:p w:rsidR="005B3B5B" w:rsidRPr="005B3B5B" w:rsidRDefault="005B3B5B" w:rsidP="005B3B5B">
      <w:pPr>
        <w:jc w:val="center"/>
        <w:rPr>
          <w:rFonts w:ascii="Arial" w:hAnsi="Arial" w:cs="Arial"/>
        </w:rPr>
      </w:pPr>
      <w:r w:rsidRPr="005B3B5B">
        <w:rPr>
          <w:rFonts w:ascii="Arial" w:hAnsi="Arial" w:cs="Arial"/>
          <w:b/>
          <w:bCs/>
        </w:rPr>
        <w:t>The OBLIGE Research Team are excited to share an opportunity with you.</w:t>
      </w:r>
    </w:p>
    <w:p w:rsidR="005B3B5B" w:rsidRDefault="005B3B5B" w:rsidP="005B3B5B">
      <w:pPr>
        <w:rPr>
          <w:rFonts w:ascii="Arial" w:hAnsi="Arial" w:cs="Arial"/>
        </w:rPr>
      </w:pPr>
    </w:p>
    <w:p w:rsidR="005B3B5B" w:rsidRPr="005B3B5B" w:rsidRDefault="005B3B5B" w:rsidP="005B3B5B">
      <w:pPr>
        <w:rPr>
          <w:rFonts w:ascii="Arial" w:hAnsi="Arial" w:cs="Arial"/>
        </w:rPr>
      </w:pPr>
      <w:r w:rsidRPr="005B3B5B">
        <w:rPr>
          <w:rFonts w:ascii="Arial" w:hAnsi="Arial" w:cs="Arial"/>
        </w:rPr>
        <w:t>Multiple trials show that initiating IOL with a balloon is safer than, and as effective as, prostaglandins; small trials show that initiating IOL out of hospital is feasible and acceptable. However, low-risk women are not yet offered the option of having a balloon and spending that first 24 hours out of hospital. Outpatient IOL with balloon has not yet been studied for effectiveness and safety.  </w:t>
      </w:r>
    </w:p>
    <w:p w:rsidR="005B3B5B" w:rsidRPr="005B3B5B" w:rsidRDefault="005B3B5B" w:rsidP="005B3B5B">
      <w:pPr>
        <w:rPr>
          <w:rFonts w:ascii="Arial" w:hAnsi="Arial" w:cs="Arial"/>
        </w:rPr>
      </w:pPr>
      <w:r w:rsidRPr="005B3B5B">
        <w:rPr>
          <w:rFonts w:ascii="Arial" w:hAnsi="Arial" w:cs="Arial"/>
          <w:b/>
          <w:bCs/>
        </w:rPr>
        <w:t>Our Primary</w:t>
      </w:r>
      <w:r w:rsidRPr="005B3B5B">
        <w:rPr>
          <w:rFonts w:ascii="Arial" w:hAnsi="Arial" w:cs="Arial"/>
        </w:rPr>
        <w:t> hypothesise is that women having outpatient IOL with balloon will have a lower caesarean section rate, compared to women having inpatient IOL with vaginal prostaglandins. </w:t>
      </w:r>
    </w:p>
    <w:p w:rsidR="005B3B5B" w:rsidRPr="005B3B5B" w:rsidRDefault="005B3B5B" w:rsidP="005B3B5B">
      <w:pPr>
        <w:rPr>
          <w:rFonts w:ascii="Arial" w:hAnsi="Arial" w:cs="Arial"/>
        </w:rPr>
      </w:pPr>
      <w:r w:rsidRPr="005B3B5B">
        <w:rPr>
          <w:rFonts w:ascii="Arial" w:hAnsi="Arial" w:cs="Arial"/>
          <w:b/>
          <w:bCs/>
        </w:rPr>
        <w:t>Our Secondary </w:t>
      </w:r>
      <w:r w:rsidRPr="005B3B5B">
        <w:rPr>
          <w:rFonts w:ascii="Arial" w:hAnsi="Arial" w:cs="Arial"/>
        </w:rPr>
        <w:t>hypotheses are that when compared to inpatient IOL with prostaglandin gel, outpatient IOL with balloon will not result in increased adverse events for mother or baby; that women having outpatient induction of labour with balloon will be more satisfied; that staff looking after women who are allowed to go home will be more satisfied and that outpatient balloon IOL will be more cost effective. </w:t>
      </w:r>
    </w:p>
    <w:p w:rsidR="005B3B5B" w:rsidRDefault="005B3B5B" w:rsidP="005B3B5B">
      <w:pPr>
        <w:rPr>
          <w:rFonts w:ascii="Arial" w:hAnsi="Arial" w:cs="Arial"/>
          <w:b/>
          <w:bCs/>
        </w:rPr>
      </w:pPr>
    </w:p>
    <w:p w:rsidR="005B3B5B" w:rsidRPr="005B3B5B" w:rsidRDefault="005B3B5B" w:rsidP="005B3B5B">
      <w:pPr>
        <w:rPr>
          <w:rFonts w:ascii="Arial" w:hAnsi="Arial" w:cs="Arial"/>
        </w:rPr>
      </w:pPr>
      <w:r w:rsidRPr="005B3B5B">
        <w:rPr>
          <w:rFonts w:ascii="Arial" w:hAnsi="Arial" w:cs="Arial"/>
          <w:b/>
          <w:bCs/>
        </w:rPr>
        <w:t>Inclusion criteria:</w:t>
      </w:r>
      <w:r w:rsidRPr="005B3B5B">
        <w:rPr>
          <w:rFonts w:ascii="Arial" w:hAnsi="Arial" w:cs="Arial"/>
        </w:rPr>
        <w:t>  </w:t>
      </w:r>
    </w:p>
    <w:p w:rsidR="005B3B5B" w:rsidRPr="005B3B5B" w:rsidRDefault="005B3B5B" w:rsidP="005B3B5B">
      <w:pPr>
        <w:rPr>
          <w:rFonts w:ascii="Arial" w:hAnsi="Arial" w:cs="Arial"/>
        </w:rPr>
      </w:pPr>
      <w:r w:rsidRPr="005B3B5B">
        <w:rPr>
          <w:rFonts w:ascii="Arial" w:hAnsi="Arial" w:cs="Arial"/>
        </w:rPr>
        <w:t>Pregnant women with live singleton cephalic presentation  </w:t>
      </w:r>
    </w:p>
    <w:p w:rsidR="005B3B5B" w:rsidRPr="005B3B5B" w:rsidRDefault="005B3B5B" w:rsidP="005B3B5B">
      <w:pPr>
        <w:numPr>
          <w:ilvl w:val="0"/>
          <w:numId w:val="1"/>
        </w:numPr>
        <w:rPr>
          <w:rFonts w:ascii="Arial" w:hAnsi="Arial" w:cs="Arial"/>
        </w:rPr>
      </w:pPr>
      <w:r w:rsidRPr="005B3B5B">
        <w:rPr>
          <w:rFonts w:ascii="Arial" w:hAnsi="Arial" w:cs="Arial"/>
        </w:rPr>
        <w:t>Planning IOL at ≥ 37 weeks gestation </w:t>
      </w:r>
    </w:p>
    <w:p w:rsidR="005B3B5B" w:rsidRPr="005B3B5B" w:rsidRDefault="005B3B5B" w:rsidP="005B3B5B">
      <w:pPr>
        <w:numPr>
          <w:ilvl w:val="0"/>
          <w:numId w:val="1"/>
        </w:numPr>
        <w:rPr>
          <w:rFonts w:ascii="Arial" w:hAnsi="Arial" w:cs="Arial"/>
        </w:rPr>
      </w:pPr>
      <w:r w:rsidRPr="005B3B5B">
        <w:rPr>
          <w:rFonts w:ascii="Arial" w:hAnsi="Arial" w:cs="Arial"/>
        </w:rPr>
        <w:t>Able to remain within one hour of hospital whilst outpatient, if allocated to balloon group </w:t>
      </w:r>
    </w:p>
    <w:p w:rsidR="005B3B5B" w:rsidRPr="005B3B5B" w:rsidRDefault="005B3B5B" w:rsidP="005B3B5B">
      <w:pPr>
        <w:numPr>
          <w:ilvl w:val="0"/>
          <w:numId w:val="1"/>
        </w:numPr>
        <w:rPr>
          <w:rFonts w:ascii="Arial" w:hAnsi="Arial" w:cs="Arial"/>
        </w:rPr>
      </w:pPr>
      <w:r w:rsidRPr="005B3B5B">
        <w:rPr>
          <w:rFonts w:ascii="Arial" w:hAnsi="Arial" w:cs="Arial"/>
        </w:rPr>
        <w:t>Able to have with them someone who speaks enough English to communicate with the hospital midwife if concerns, if allocated to balloon group </w:t>
      </w:r>
    </w:p>
    <w:p w:rsidR="005B3B5B" w:rsidRDefault="005B3B5B" w:rsidP="005B3B5B">
      <w:pPr>
        <w:rPr>
          <w:rFonts w:ascii="Arial" w:hAnsi="Arial" w:cs="Arial"/>
          <w:b/>
          <w:bCs/>
        </w:rPr>
      </w:pPr>
    </w:p>
    <w:p w:rsidR="005B3B5B" w:rsidRPr="005B3B5B" w:rsidRDefault="005B3B5B" w:rsidP="005B3B5B">
      <w:pPr>
        <w:rPr>
          <w:rFonts w:ascii="Arial" w:hAnsi="Arial" w:cs="Arial"/>
        </w:rPr>
      </w:pPr>
      <w:r w:rsidRPr="005B3B5B">
        <w:rPr>
          <w:rFonts w:ascii="Arial" w:hAnsi="Arial" w:cs="Arial"/>
          <w:b/>
          <w:bCs/>
        </w:rPr>
        <w:t>Exclusion criteria:</w:t>
      </w:r>
      <w:r w:rsidRPr="005B3B5B">
        <w:rPr>
          <w:rFonts w:ascii="Arial" w:hAnsi="Arial" w:cs="Arial"/>
        </w:rPr>
        <w:t> </w:t>
      </w:r>
    </w:p>
    <w:p w:rsidR="005B3B5B" w:rsidRPr="005B3B5B" w:rsidRDefault="005B3B5B" w:rsidP="005B3B5B">
      <w:pPr>
        <w:numPr>
          <w:ilvl w:val="0"/>
          <w:numId w:val="2"/>
        </w:numPr>
        <w:rPr>
          <w:rFonts w:ascii="Arial" w:hAnsi="Arial" w:cs="Arial"/>
        </w:rPr>
      </w:pPr>
      <w:r w:rsidRPr="005B3B5B">
        <w:rPr>
          <w:rFonts w:ascii="Arial" w:hAnsi="Arial" w:cs="Arial"/>
        </w:rPr>
        <w:t>major congenital anomaly; </w:t>
      </w:r>
    </w:p>
    <w:p w:rsidR="005B3B5B" w:rsidRPr="005B3B5B" w:rsidRDefault="005B3B5B" w:rsidP="005B3B5B">
      <w:pPr>
        <w:numPr>
          <w:ilvl w:val="0"/>
          <w:numId w:val="2"/>
        </w:numPr>
        <w:rPr>
          <w:rFonts w:ascii="Arial" w:hAnsi="Arial" w:cs="Arial"/>
        </w:rPr>
      </w:pPr>
      <w:r w:rsidRPr="005B3B5B">
        <w:rPr>
          <w:rFonts w:ascii="Arial" w:hAnsi="Arial" w:cs="Arial"/>
        </w:rPr>
        <w:t>suspected fetal growth restriction, as prostaglandins would be contraindicated;  </w:t>
      </w:r>
    </w:p>
    <w:p w:rsidR="005B3B5B" w:rsidRPr="005B3B5B" w:rsidRDefault="005B3B5B" w:rsidP="005B3B5B">
      <w:pPr>
        <w:ind w:left="1440"/>
        <w:rPr>
          <w:rFonts w:ascii="Arial" w:hAnsi="Arial" w:cs="Arial"/>
          <w:sz w:val="20"/>
          <w:szCs w:val="20"/>
        </w:rPr>
      </w:pPr>
      <w:proofErr w:type="gramStart"/>
      <w:r w:rsidRPr="005B3B5B">
        <w:rPr>
          <w:rFonts w:ascii="Arial" w:hAnsi="Arial" w:cs="Arial"/>
          <w:i/>
          <w:iCs/>
          <w:sz w:val="20"/>
          <w:szCs w:val="20"/>
        </w:rPr>
        <w:t>defined</w:t>
      </w:r>
      <w:proofErr w:type="gramEnd"/>
      <w:r w:rsidRPr="005B3B5B">
        <w:rPr>
          <w:rFonts w:ascii="Arial" w:hAnsi="Arial" w:cs="Arial"/>
          <w:i/>
          <w:iCs/>
          <w:sz w:val="20"/>
          <w:szCs w:val="20"/>
        </w:rPr>
        <w:t> as customised EFW &lt; 3%; or customised EFW &lt; 10% with abnormal </w:t>
      </w:r>
      <w:proofErr w:type="spellStart"/>
      <w:r w:rsidRPr="005B3B5B">
        <w:rPr>
          <w:rFonts w:ascii="Arial" w:hAnsi="Arial" w:cs="Arial"/>
          <w:i/>
          <w:iCs/>
          <w:sz w:val="20"/>
          <w:szCs w:val="20"/>
        </w:rPr>
        <w:t>dopplers</w:t>
      </w:r>
      <w:proofErr w:type="spellEnd"/>
      <w:r w:rsidRPr="005B3B5B">
        <w:rPr>
          <w:rFonts w:ascii="Arial" w:hAnsi="Arial" w:cs="Arial"/>
          <w:i/>
          <w:iCs/>
          <w:sz w:val="20"/>
          <w:szCs w:val="20"/>
        </w:rPr>
        <w:t>; or abdominal circumference ≤ 5% with abnormal </w:t>
      </w:r>
      <w:proofErr w:type="spellStart"/>
      <w:r w:rsidRPr="005B3B5B">
        <w:rPr>
          <w:rFonts w:ascii="Arial" w:hAnsi="Arial" w:cs="Arial"/>
          <w:i/>
          <w:iCs/>
          <w:sz w:val="20"/>
          <w:szCs w:val="20"/>
        </w:rPr>
        <w:t>dopplers</w:t>
      </w:r>
      <w:proofErr w:type="spellEnd"/>
    </w:p>
    <w:p w:rsidR="005B3B5B" w:rsidRPr="005B3B5B" w:rsidRDefault="005B3B5B" w:rsidP="005B3B5B">
      <w:pPr>
        <w:numPr>
          <w:ilvl w:val="0"/>
          <w:numId w:val="3"/>
        </w:numPr>
        <w:rPr>
          <w:rFonts w:ascii="Arial" w:hAnsi="Arial" w:cs="Arial"/>
        </w:rPr>
      </w:pPr>
      <w:r w:rsidRPr="005B3B5B">
        <w:rPr>
          <w:rFonts w:ascii="Arial" w:hAnsi="Arial" w:cs="Arial"/>
        </w:rPr>
        <w:t>previous caesarean, as prostaglandins would be contraindicated; </w:t>
      </w:r>
      <w:bookmarkStart w:id="0" w:name="_GoBack"/>
      <w:bookmarkEnd w:id="0"/>
    </w:p>
    <w:p w:rsidR="005B3B5B" w:rsidRPr="005B3B5B" w:rsidRDefault="005B3B5B" w:rsidP="005B3B5B">
      <w:pPr>
        <w:numPr>
          <w:ilvl w:val="0"/>
          <w:numId w:val="3"/>
        </w:numPr>
        <w:rPr>
          <w:rFonts w:ascii="Arial" w:hAnsi="Arial" w:cs="Arial"/>
        </w:rPr>
      </w:pPr>
      <w:r w:rsidRPr="005B3B5B">
        <w:rPr>
          <w:rFonts w:ascii="Arial" w:hAnsi="Arial" w:cs="Arial"/>
        </w:rPr>
        <w:t>maternal or fetal condition where the clinician feels outpatient care would be contraindicated  </w:t>
      </w:r>
    </w:p>
    <w:p w:rsidR="005B3B5B" w:rsidRDefault="005B3B5B" w:rsidP="005B3B5B">
      <w:pPr>
        <w:rPr>
          <w:rFonts w:ascii="Arial" w:hAnsi="Arial" w:cs="Arial"/>
        </w:rPr>
      </w:pPr>
      <w:r w:rsidRPr="005B3B5B">
        <w:rPr>
          <w:rFonts w:ascii="Arial" w:hAnsi="Arial" w:cs="Arial"/>
        </w:rPr>
        <w:t> </w:t>
      </w:r>
    </w:p>
    <w:p w:rsidR="005B3B5B" w:rsidRPr="005B3B5B" w:rsidRDefault="005B3B5B" w:rsidP="005B3B5B">
      <w:pPr>
        <w:rPr>
          <w:rFonts w:ascii="Arial" w:hAnsi="Arial" w:cs="Arial"/>
        </w:rPr>
      </w:pPr>
      <w:r w:rsidRPr="005B3B5B">
        <w:rPr>
          <w:rFonts w:ascii="Arial" w:hAnsi="Arial" w:cs="Arial"/>
          <w:b/>
          <w:bCs/>
          <w:u w:val="single"/>
        </w:rPr>
        <w:t>How do you include your women in this trial?</w:t>
      </w:r>
      <w:r w:rsidRPr="005B3B5B">
        <w:rPr>
          <w:rFonts w:ascii="Arial" w:hAnsi="Arial" w:cs="Arial"/>
        </w:rPr>
        <w:t> </w:t>
      </w:r>
    </w:p>
    <w:p w:rsidR="005B3B5B" w:rsidRPr="005B3B5B" w:rsidRDefault="005B3B5B" w:rsidP="005B3B5B">
      <w:pPr>
        <w:pStyle w:val="ListParagraph"/>
        <w:numPr>
          <w:ilvl w:val="0"/>
          <w:numId w:val="13"/>
        </w:numPr>
        <w:rPr>
          <w:rFonts w:ascii="Arial" w:hAnsi="Arial" w:cs="Arial"/>
        </w:rPr>
      </w:pPr>
      <w:r w:rsidRPr="005B3B5B">
        <w:rPr>
          <w:rFonts w:ascii="Arial" w:hAnsi="Arial" w:cs="Arial"/>
        </w:rPr>
        <w:t>Introduce the Trial when discussing the need for IOL if she meets the Inclusion Criteria </w:t>
      </w:r>
    </w:p>
    <w:p w:rsidR="005B3B5B" w:rsidRPr="005B3B5B" w:rsidRDefault="005B3B5B" w:rsidP="005B3B5B">
      <w:pPr>
        <w:pStyle w:val="ListParagraph"/>
        <w:numPr>
          <w:ilvl w:val="0"/>
          <w:numId w:val="13"/>
        </w:numPr>
        <w:rPr>
          <w:rFonts w:ascii="Arial" w:hAnsi="Arial" w:cs="Arial"/>
        </w:rPr>
      </w:pPr>
      <w:r w:rsidRPr="005B3B5B">
        <w:rPr>
          <w:rFonts w:ascii="Arial" w:hAnsi="Arial" w:cs="Arial"/>
        </w:rPr>
        <w:t>Refer as per the normal guidelines for IOL </w:t>
      </w:r>
      <w:proofErr w:type="spellStart"/>
      <w:r w:rsidRPr="005B3B5B">
        <w:rPr>
          <w:rFonts w:ascii="Arial" w:hAnsi="Arial" w:cs="Arial"/>
        </w:rPr>
        <w:t>ie</w:t>
      </w:r>
      <w:proofErr w:type="spellEnd"/>
      <w:r w:rsidRPr="005B3B5B">
        <w:rPr>
          <w:rFonts w:ascii="Arial" w:hAnsi="Arial" w:cs="Arial"/>
        </w:rPr>
        <w:t>. Virtual referral or Antenatal Clinic Review. </w:t>
      </w:r>
    </w:p>
    <w:p w:rsidR="005B3B5B" w:rsidRPr="005B3B5B" w:rsidRDefault="005B3B5B" w:rsidP="005B3B5B">
      <w:pPr>
        <w:rPr>
          <w:rFonts w:ascii="Arial" w:hAnsi="Arial" w:cs="Arial"/>
        </w:rPr>
      </w:pPr>
      <w:r w:rsidRPr="005B3B5B">
        <w:rPr>
          <w:rFonts w:ascii="Arial" w:hAnsi="Arial" w:cs="Arial"/>
        </w:rPr>
        <w:lastRenderedPageBreak/>
        <w:t> </w:t>
      </w:r>
      <w:r w:rsidRPr="005B3B5B">
        <w:rPr>
          <w:rFonts w:ascii="Arial" w:hAnsi="Arial" w:cs="Arial"/>
          <w:b/>
          <w:bCs/>
          <w:u w:val="single"/>
        </w:rPr>
        <w:t>Who discusses the Trial in-depth with your women?</w:t>
      </w:r>
      <w:r w:rsidRPr="005B3B5B">
        <w:rPr>
          <w:rFonts w:ascii="Arial" w:hAnsi="Arial" w:cs="Arial"/>
        </w:rPr>
        <w:t> </w:t>
      </w:r>
    </w:p>
    <w:p w:rsidR="005B3B5B" w:rsidRPr="005B3B5B" w:rsidRDefault="005B3B5B" w:rsidP="005B3B5B">
      <w:pPr>
        <w:pStyle w:val="ListParagraph"/>
        <w:numPr>
          <w:ilvl w:val="0"/>
          <w:numId w:val="14"/>
        </w:numPr>
        <w:rPr>
          <w:rFonts w:ascii="Arial" w:hAnsi="Arial" w:cs="Arial"/>
        </w:rPr>
      </w:pPr>
      <w:r w:rsidRPr="005B3B5B">
        <w:rPr>
          <w:rFonts w:ascii="Arial" w:hAnsi="Arial" w:cs="Arial"/>
        </w:rPr>
        <w:t>If IOL is decided at a specialist appointment and eligibility determined, the trial will be discussed with the patient and an information pack will be given to her at this visit. If she agrees to participate and signs consent form, then consent form will be faxed to DAU along with the IOL booking form. If she prefers to discuss it further with LMC, then she will be asked for permission for Research Team to contact her. The Research Team will then follow up and obtain verbal consent.</w:t>
      </w:r>
    </w:p>
    <w:p w:rsidR="005B3B5B" w:rsidRPr="005B3B5B" w:rsidRDefault="005B3B5B" w:rsidP="005B3B5B">
      <w:pPr>
        <w:pStyle w:val="ListParagraph"/>
        <w:rPr>
          <w:rFonts w:ascii="Arial" w:hAnsi="Arial" w:cs="Arial"/>
        </w:rPr>
      </w:pPr>
      <w:r w:rsidRPr="005B3B5B">
        <w:rPr>
          <w:rFonts w:ascii="Arial" w:hAnsi="Arial" w:cs="Arial"/>
        </w:rPr>
        <w:t> </w:t>
      </w:r>
    </w:p>
    <w:p w:rsidR="005B3B5B" w:rsidRPr="005B3B5B" w:rsidRDefault="005B3B5B" w:rsidP="005B3B5B">
      <w:pPr>
        <w:pStyle w:val="ListParagraph"/>
        <w:numPr>
          <w:ilvl w:val="0"/>
          <w:numId w:val="14"/>
        </w:numPr>
        <w:tabs>
          <w:tab w:val="num" w:pos="720"/>
        </w:tabs>
        <w:rPr>
          <w:rFonts w:ascii="Arial" w:hAnsi="Arial" w:cs="Arial"/>
        </w:rPr>
      </w:pPr>
      <w:r w:rsidRPr="005B3B5B">
        <w:rPr>
          <w:rFonts w:ascii="Arial" w:hAnsi="Arial" w:cs="Arial"/>
        </w:rPr>
        <w:t>If IOL is booked via Virtual Referrals, then DAU will arrange the booking of the IOL for a morning slot. LMC will be informed of her patient's eligibility to be on the trial and is asked to discuss the OBLIGE TRIAL with her and ask for permission for Research Team to contact her. The Research Team will then follow up and obtain verbal consent.  </w:t>
      </w:r>
    </w:p>
    <w:p w:rsidR="005B3B5B" w:rsidRPr="005B3B5B" w:rsidRDefault="005B3B5B" w:rsidP="005B3B5B">
      <w:pPr>
        <w:pStyle w:val="ListParagraph"/>
        <w:rPr>
          <w:rFonts w:ascii="Arial" w:hAnsi="Arial" w:cs="Arial"/>
        </w:rPr>
      </w:pPr>
    </w:p>
    <w:p w:rsidR="005B3B5B" w:rsidRPr="005B3B5B" w:rsidRDefault="005B3B5B" w:rsidP="005B3B5B">
      <w:pPr>
        <w:pStyle w:val="ListParagraph"/>
        <w:numPr>
          <w:ilvl w:val="0"/>
          <w:numId w:val="14"/>
        </w:numPr>
        <w:tabs>
          <w:tab w:val="num" w:pos="720"/>
        </w:tabs>
        <w:rPr>
          <w:rFonts w:ascii="Arial" w:hAnsi="Arial" w:cs="Arial"/>
        </w:rPr>
      </w:pPr>
      <w:r w:rsidRPr="005B3B5B">
        <w:rPr>
          <w:rFonts w:ascii="Arial" w:hAnsi="Arial" w:cs="Arial"/>
        </w:rPr>
        <w:t>Information about the trial is available under the induction of labour tab on the national women's internet site:  </w:t>
      </w:r>
    </w:p>
    <w:p w:rsidR="007B0AE9" w:rsidRDefault="007B0AE9" w:rsidP="005B3B5B">
      <w:pPr>
        <w:pStyle w:val="ListParagraph"/>
        <w:rPr>
          <w:rStyle w:val="Hyperlink"/>
          <w:rFonts w:ascii="Arial" w:hAnsi="Arial" w:cs="Arial"/>
        </w:rPr>
      </w:pPr>
      <w:hyperlink r:id="rId7" w:tgtFrame="_blank" w:history="1">
        <w:r w:rsidR="005B3B5B" w:rsidRPr="005B3B5B">
          <w:rPr>
            <w:rStyle w:val="Hyperlink"/>
            <w:rFonts w:ascii="Arial" w:hAnsi="Arial" w:cs="Arial"/>
          </w:rPr>
          <w:t>http://nationalwomenshealth.adhb.govt.nz/health-professionals/induction-of-labour</w:t>
        </w:r>
      </w:hyperlink>
    </w:p>
    <w:p w:rsidR="005B3B5B" w:rsidRPr="005B3B5B" w:rsidRDefault="005B3B5B" w:rsidP="005B3B5B">
      <w:pPr>
        <w:pStyle w:val="ListParagraph"/>
        <w:rPr>
          <w:rFonts w:ascii="Arial" w:hAnsi="Arial" w:cs="Arial"/>
        </w:rPr>
      </w:pPr>
      <w:r w:rsidRPr="005B3B5B">
        <w:rPr>
          <w:rFonts w:ascii="Arial" w:hAnsi="Arial" w:cs="Arial"/>
        </w:rPr>
        <w:t>   </w:t>
      </w:r>
    </w:p>
    <w:p w:rsidR="005B3B5B" w:rsidRPr="005B3B5B" w:rsidRDefault="005B3B5B" w:rsidP="005B3B5B">
      <w:pPr>
        <w:rPr>
          <w:rFonts w:ascii="Arial" w:hAnsi="Arial" w:cs="Arial"/>
        </w:rPr>
      </w:pPr>
      <w:r w:rsidRPr="005B3B5B">
        <w:rPr>
          <w:rFonts w:ascii="Arial" w:hAnsi="Arial" w:cs="Arial"/>
          <w:b/>
          <w:bCs/>
          <w:u w:val="single"/>
        </w:rPr>
        <w:t>What happens on the day of induction if my patient has verbally agreed to participate on the </w:t>
      </w:r>
      <w:proofErr w:type="gramStart"/>
      <w:r w:rsidRPr="005B3B5B">
        <w:rPr>
          <w:rFonts w:ascii="Arial" w:hAnsi="Arial" w:cs="Arial"/>
          <w:b/>
          <w:bCs/>
          <w:u w:val="single"/>
        </w:rPr>
        <w:t>Trial</w:t>
      </w:r>
      <w:proofErr w:type="gramEnd"/>
      <w:r w:rsidRPr="005B3B5B">
        <w:rPr>
          <w:rFonts w:ascii="Arial" w:hAnsi="Arial" w:cs="Arial"/>
        </w:rPr>
        <w:t> </w:t>
      </w:r>
    </w:p>
    <w:p w:rsidR="005B3B5B" w:rsidRPr="005B3B5B" w:rsidRDefault="005B3B5B" w:rsidP="005B3B5B">
      <w:pPr>
        <w:numPr>
          <w:ilvl w:val="0"/>
          <w:numId w:val="9"/>
        </w:numPr>
        <w:rPr>
          <w:rFonts w:ascii="Arial" w:hAnsi="Arial" w:cs="Arial"/>
        </w:rPr>
      </w:pPr>
      <w:r w:rsidRPr="005B3B5B">
        <w:rPr>
          <w:rFonts w:ascii="Arial" w:hAnsi="Arial" w:cs="Arial"/>
        </w:rPr>
        <w:t>Your patient and her family will attend Women’s Assessment Unit on the day of IOL in the morning at the arranged time, will have written consent obtained, and then will be randomised to either balloon or prostaglandin gel. </w:t>
      </w:r>
    </w:p>
    <w:p w:rsidR="005B3B5B" w:rsidRPr="005B3B5B" w:rsidRDefault="005B3B5B" w:rsidP="005B3B5B">
      <w:pPr>
        <w:numPr>
          <w:ilvl w:val="0"/>
          <w:numId w:val="9"/>
        </w:numPr>
        <w:rPr>
          <w:rFonts w:ascii="Arial" w:hAnsi="Arial" w:cs="Arial"/>
        </w:rPr>
      </w:pPr>
      <w:r w:rsidRPr="005B3B5B">
        <w:rPr>
          <w:rFonts w:ascii="Arial" w:hAnsi="Arial" w:cs="Arial"/>
        </w:rPr>
        <w:t>Only woman randomised to the balloon will be allowed to go home, and will receive a written information sheet about when to return and who to ring at WAU if concerned. They will return to Women’s Assessment Unit the following morning at 07.30 for removal of the balloon and artificial rupture of membranes.  </w:t>
      </w:r>
    </w:p>
    <w:p w:rsidR="005B3B5B" w:rsidRPr="005B3B5B" w:rsidRDefault="005B3B5B" w:rsidP="005B3B5B">
      <w:pPr>
        <w:numPr>
          <w:ilvl w:val="0"/>
          <w:numId w:val="9"/>
        </w:numPr>
        <w:rPr>
          <w:rFonts w:ascii="Arial" w:hAnsi="Arial" w:cs="Arial"/>
        </w:rPr>
      </w:pPr>
      <w:r w:rsidRPr="005B3B5B">
        <w:rPr>
          <w:rFonts w:ascii="Arial" w:hAnsi="Arial" w:cs="Arial"/>
        </w:rPr>
        <w:t>If the balloon falls out prior to this then they should remain at home and return as planned at 07.30 the next morning. </w:t>
      </w:r>
    </w:p>
    <w:p w:rsidR="005B3B5B" w:rsidRPr="005B3B5B" w:rsidRDefault="005B3B5B" w:rsidP="005B3B5B">
      <w:pPr>
        <w:numPr>
          <w:ilvl w:val="0"/>
          <w:numId w:val="10"/>
        </w:numPr>
        <w:rPr>
          <w:rFonts w:ascii="Arial" w:hAnsi="Arial" w:cs="Arial"/>
        </w:rPr>
      </w:pPr>
      <w:r w:rsidRPr="005B3B5B">
        <w:rPr>
          <w:rFonts w:ascii="Arial" w:hAnsi="Arial" w:cs="Arial"/>
        </w:rPr>
        <w:t>The process will continue as per the normal guidelines with transfer to Labour and Birthing Suite for </w:t>
      </w:r>
      <w:proofErr w:type="spellStart"/>
      <w:r w:rsidRPr="005B3B5B">
        <w:rPr>
          <w:rFonts w:ascii="Arial" w:hAnsi="Arial" w:cs="Arial"/>
        </w:rPr>
        <w:t>Syntocinon</w:t>
      </w:r>
      <w:proofErr w:type="spellEnd"/>
      <w:r w:rsidRPr="005B3B5B">
        <w:rPr>
          <w:rFonts w:ascii="Arial" w:hAnsi="Arial" w:cs="Arial"/>
        </w:rPr>
        <w:t> Augmentation if not in established labour when a Core Midwife is available. </w:t>
      </w:r>
    </w:p>
    <w:p w:rsidR="007B0AE9" w:rsidRPr="007B0AE9" w:rsidRDefault="005B3B5B" w:rsidP="007B0AE9">
      <w:pPr>
        <w:numPr>
          <w:ilvl w:val="0"/>
          <w:numId w:val="10"/>
        </w:numPr>
        <w:rPr>
          <w:rFonts w:ascii="Arial" w:hAnsi="Arial" w:cs="Arial"/>
        </w:rPr>
      </w:pPr>
      <w:r w:rsidRPr="005B3B5B">
        <w:rPr>
          <w:rFonts w:ascii="Arial" w:hAnsi="Arial" w:cs="Arial"/>
        </w:rPr>
        <w:t>The prostaglandin Gel induction method remains unchanged </w:t>
      </w:r>
    </w:p>
    <w:p w:rsidR="005B3B5B" w:rsidRPr="005B3B5B" w:rsidRDefault="005B3B5B" w:rsidP="005B3B5B">
      <w:pPr>
        <w:rPr>
          <w:rFonts w:ascii="Arial" w:hAnsi="Arial" w:cs="Arial"/>
        </w:rPr>
      </w:pPr>
      <w:r w:rsidRPr="005B3B5B">
        <w:rPr>
          <w:rFonts w:ascii="Arial" w:hAnsi="Arial" w:cs="Arial"/>
        </w:rPr>
        <w:t>  </w:t>
      </w:r>
      <w:r w:rsidRPr="005B3B5B">
        <w:rPr>
          <w:rFonts w:ascii="Arial" w:hAnsi="Arial" w:cs="Arial"/>
          <w:b/>
          <w:bCs/>
          <w:u w:val="single"/>
        </w:rPr>
        <w:t>When is the LMC called?</w:t>
      </w:r>
      <w:r w:rsidRPr="005B3B5B">
        <w:rPr>
          <w:rFonts w:ascii="Arial" w:hAnsi="Arial" w:cs="Arial"/>
        </w:rPr>
        <w:t> </w:t>
      </w:r>
    </w:p>
    <w:p w:rsidR="005B3B5B" w:rsidRPr="005B3B5B" w:rsidRDefault="005B3B5B" w:rsidP="005B3B5B">
      <w:pPr>
        <w:numPr>
          <w:ilvl w:val="0"/>
          <w:numId w:val="11"/>
        </w:numPr>
        <w:rPr>
          <w:rFonts w:ascii="Arial" w:hAnsi="Arial" w:cs="Arial"/>
        </w:rPr>
      </w:pPr>
      <w:r w:rsidRPr="005B3B5B">
        <w:rPr>
          <w:rFonts w:ascii="Arial" w:hAnsi="Arial" w:cs="Arial"/>
        </w:rPr>
        <w:t>To provide Labour Cares when the patient is in established Labour. </w:t>
      </w:r>
    </w:p>
    <w:p w:rsidR="005B3B5B" w:rsidRPr="005B3B5B" w:rsidRDefault="005B3B5B" w:rsidP="005B3B5B">
      <w:pPr>
        <w:numPr>
          <w:ilvl w:val="0"/>
          <w:numId w:val="12"/>
        </w:numPr>
        <w:rPr>
          <w:rFonts w:ascii="Arial" w:hAnsi="Arial" w:cs="Arial"/>
        </w:rPr>
      </w:pPr>
      <w:r w:rsidRPr="005B3B5B">
        <w:rPr>
          <w:rFonts w:ascii="Arial" w:hAnsi="Arial" w:cs="Arial"/>
        </w:rPr>
        <w:t>Any concerns your patient may have during her stay at home she is to contact Women’s Assessment Unit. The number is 09-631-0784. </w:t>
      </w:r>
    </w:p>
    <w:p w:rsidR="005B3B5B" w:rsidRPr="005B3B5B" w:rsidRDefault="005B3B5B" w:rsidP="005B3B5B">
      <w:pPr>
        <w:jc w:val="center"/>
        <w:rPr>
          <w:rFonts w:ascii="Arial" w:hAnsi="Arial" w:cs="Arial"/>
        </w:rPr>
      </w:pPr>
      <w:r w:rsidRPr="005B3B5B">
        <w:rPr>
          <w:rFonts w:ascii="Arial" w:hAnsi="Arial" w:cs="Arial"/>
        </w:rPr>
        <w:t>We look forward to working with you on this Exciting Trial. If you have any questions please do not hesitate to contact us by email </w:t>
      </w:r>
      <w:r w:rsidRPr="005B3B5B">
        <w:rPr>
          <w:rFonts w:ascii="Arial" w:hAnsi="Arial" w:cs="Arial"/>
          <w:b/>
          <w:bCs/>
        </w:rPr>
        <w:t>oblige@adhb.govt.nz</w:t>
      </w:r>
    </w:p>
    <w:p w:rsidR="00277D15" w:rsidRDefault="005B3B5B" w:rsidP="005B3B5B">
      <w:pPr>
        <w:jc w:val="center"/>
      </w:pPr>
      <w:r>
        <w:rPr>
          <w:noProof/>
          <w:lang w:eastAsia="en-NZ"/>
        </w:rPr>
        <w:drawing>
          <wp:inline distT="0" distB="0" distL="0" distR="0">
            <wp:extent cx="1742292" cy="93110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 of O logo.png"/>
                    <pic:cNvPicPr/>
                  </pic:nvPicPr>
                  <pic:blipFill>
                    <a:blip r:embed="rId8">
                      <a:extLst>
                        <a:ext uri="{28A0092B-C50C-407E-A947-70E740481C1C}">
                          <a14:useLocalDpi xmlns:a14="http://schemas.microsoft.com/office/drawing/2010/main" val="0"/>
                        </a:ext>
                      </a:extLst>
                    </a:blip>
                    <a:stretch>
                      <a:fillRect/>
                    </a:stretch>
                  </pic:blipFill>
                  <pic:spPr>
                    <a:xfrm>
                      <a:off x="0" y="0"/>
                      <a:ext cx="1807487" cy="965944"/>
                    </a:xfrm>
                    <a:prstGeom prst="rect">
                      <a:avLst/>
                    </a:prstGeom>
                  </pic:spPr>
                </pic:pic>
              </a:graphicData>
            </a:graphic>
          </wp:inline>
        </w:drawing>
      </w:r>
      <w:r>
        <w:rPr>
          <w:noProof/>
          <w:lang w:eastAsia="en-NZ"/>
        </w:rPr>
        <w:drawing>
          <wp:inline distT="0" distB="0" distL="0" distR="0">
            <wp:extent cx="2400635" cy="80021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HB logo.png"/>
                    <pic:cNvPicPr/>
                  </pic:nvPicPr>
                  <pic:blipFill>
                    <a:blip r:embed="rId9">
                      <a:extLst>
                        <a:ext uri="{28A0092B-C50C-407E-A947-70E740481C1C}">
                          <a14:useLocalDpi xmlns:a14="http://schemas.microsoft.com/office/drawing/2010/main" val="0"/>
                        </a:ext>
                      </a:extLst>
                    </a:blip>
                    <a:stretch>
                      <a:fillRect/>
                    </a:stretch>
                  </pic:blipFill>
                  <pic:spPr>
                    <a:xfrm>
                      <a:off x="0" y="0"/>
                      <a:ext cx="2400635" cy="800212"/>
                    </a:xfrm>
                    <a:prstGeom prst="rect">
                      <a:avLst/>
                    </a:prstGeom>
                  </pic:spPr>
                </pic:pic>
              </a:graphicData>
            </a:graphic>
          </wp:inline>
        </w:drawing>
      </w:r>
    </w:p>
    <w:sectPr w:rsidR="00277D15" w:rsidSect="005B3B5B">
      <w:pgSz w:w="11906" w:h="16838"/>
      <w:pgMar w:top="1440" w:right="851" w:bottom="14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226C3"/>
    <w:multiLevelType w:val="multilevel"/>
    <w:tmpl w:val="5D8E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C03035"/>
    <w:multiLevelType w:val="multilevel"/>
    <w:tmpl w:val="423E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497EE7"/>
    <w:multiLevelType w:val="hybridMultilevel"/>
    <w:tmpl w:val="B07031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A7D3946"/>
    <w:multiLevelType w:val="multilevel"/>
    <w:tmpl w:val="CF06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C20574"/>
    <w:multiLevelType w:val="multilevel"/>
    <w:tmpl w:val="C09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F935235"/>
    <w:multiLevelType w:val="multilevel"/>
    <w:tmpl w:val="FB02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DB46E76"/>
    <w:multiLevelType w:val="multilevel"/>
    <w:tmpl w:val="E38E5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0DE50DB"/>
    <w:multiLevelType w:val="multilevel"/>
    <w:tmpl w:val="48DE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3C4074A"/>
    <w:multiLevelType w:val="hybridMultilevel"/>
    <w:tmpl w:val="C318EA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C8C5778"/>
    <w:multiLevelType w:val="multilevel"/>
    <w:tmpl w:val="C4FA2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AC9136E"/>
    <w:multiLevelType w:val="multilevel"/>
    <w:tmpl w:val="4CEC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08A524E"/>
    <w:multiLevelType w:val="multilevel"/>
    <w:tmpl w:val="90C2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3AE4CB7"/>
    <w:multiLevelType w:val="multilevel"/>
    <w:tmpl w:val="9F68C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ED82EDA"/>
    <w:multiLevelType w:val="multilevel"/>
    <w:tmpl w:val="3C16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4"/>
  </w:num>
  <w:num w:numId="4">
    <w:abstractNumId w:val="5"/>
  </w:num>
  <w:num w:numId="5">
    <w:abstractNumId w:val="3"/>
  </w:num>
  <w:num w:numId="6">
    <w:abstractNumId w:val="9"/>
  </w:num>
  <w:num w:numId="7">
    <w:abstractNumId w:val="12"/>
  </w:num>
  <w:num w:numId="8">
    <w:abstractNumId w:val="10"/>
  </w:num>
  <w:num w:numId="9">
    <w:abstractNumId w:val="7"/>
  </w:num>
  <w:num w:numId="10">
    <w:abstractNumId w:val="0"/>
  </w:num>
  <w:num w:numId="11">
    <w:abstractNumId w:val="13"/>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B5B"/>
    <w:rsid w:val="000728AF"/>
    <w:rsid w:val="000D7CE3"/>
    <w:rsid w:val="00277D15"/>
    <w:rsid w:val="005431E0"/>
    <w:rsid w:val="005B3B5B"/>
    <w:rsid w:val="00691C03"/>
    <w:rsid w:val="007B0AE9"/>
    <w:rsid w:val="007B5C1B"/>
    <w:rsid w:val="00AC0096"/>
    <w:rsid w:val="00B95D33"/>
    <w:rsid w:val="00BD686D"/>
    <w:rsid w:val="00C27D70"/>
    <w:rsid w:val="00DF1AB4"/>
    <w:rsid w:val="00F4287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3B5B"/>
    <w:rPr>
      <w:color w:val="0563C1" w:themeColor="hyperlink"/>
      <w:u w:val="single"/>
    </w:rPr>
  </w:style>
  <w:style w:type="paragraph" w:styleId="ListParagraph">
    <w:name w:val="List Paragraph"/>
    <w:basedOn w:val="Normal"/>
    <w:uiPriority w:val="34"/>
    <w:qFormat/>
    <w:rsid w:val="005B3B5B"/>
    <w:pPr>
      <w:ind w:left="720"/>
      <w:contextualSpacing/>
    </w:pPr>
  </w:style>
  <w:style w:type="paragraph" w:styleId="BalloonText">
    <w:name w:val="Balloon Text"/>
    <w:basedOn w:val="Normal"/>
    <w:link w:val="BalloonTextChar"/>
    <w:uiPriority w:val="99"/>
    <w:semiHidden/>
    <w:unhideWhenUsed/>
    <w:rsid w:val="007B0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A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3B5B"/>
    <w:rPr>
      <w:color w:val="0563C1" w:themeColor="hyperlink"/>
      <w:u w:val="single"/>
    </w:rPr>
  </w:style>
  <w:style w:type="paragraph" w:styleId="ListParagraph">
    <w:name w:val="List Paragraph"/>
    <w:basedOn w:val="Normal"/>
    <w:uiPriority w:val="34"/>
    <w:qFormat/>
    <w:rsid w:val="005B3B5B"/>
    <w:pPr>
      <w:ind w:left="720"/>
      <w:contextualSpacing/>
    </w:pPr>
  </w:style>
  <w:style w:type="paragraph" w:styleId="BalloonText">
    <w:name w:val="Balloon Text"/>
    <w:basedOn w:val="Normal"/>
    <w:link w:val="BalloonTextChar"/>
    <w:uiPriority w:val="99"/>
    <w:semiHidden/>
    <w:unhideWhenUsed/>
    <w:rsid w:val="007B0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A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5234">
      <w:bodyDiv w:val="1"/>
      <w:marLeft w:val="0"/>
      <w:marRight w:val="0"/>
      <w:marTop w:val="0"/>
      <w:marBottom w:val="0"/>
      <w:divBdr>
        <w:top w:val="none" w:sz="0" w:space="0" w:color="auto"/>
        <w:left w:val="none" w:sz="0" w:space="0" w:color="auto"/>
        <w:bottom w:val="none" w:sz="0" w:space="0" w:color="auto"/>
        <w:right w:val="none" w:sz="0" w:space="0" w:color="auto"/>
      </w:divBdr>
      <w:divsChild>
        <w:div w:id="1569731298">
          <w:marLeft w:val="0"/>
          <w:marRight w:val="0"/>
          <w:marTop w:val="0"/>
          <w:marBottom w:val="0"/>
          <w:divBdr>
            <w:top w:val="none" w:sz="0" w:space="0" w:color="auto"/>
            <w:left w:val="none" w:sz="0" w:space="0" w:color="auto"/>
            <w:bottom w:val="none" w:sz="0" w:space="0" w:color="auto"/>
            <w:right w:val="none" w:sz="0" w:space="0" w:color="auto"/>
          </w:divBdr>
        </w:div>
        <w:div w:id="282462296">
          <w:marLeft w:val="0"/>
          <w:marRight w:val="0"/>
          <w:marTop w:val="0"/>
          <w:marBottom w:val="0"/>
          <w:divBdr>
            <w:top w:val="none" w:sz="0" w:space="0" w:color="auto"/>
            <w:left w:val="none" w:sz="0" w:space="0" w:color="auto"/>
            <w:bottom w:val="none" w:sz="0" w:space="0" w:color="auto"/>
            <w:right w:val="none" w:sz="0" w:space="0" w:color="auto"/>
          </w:divBdr>
        </w:div>
        <w:div w:id="1217012212">
          <w:marLeft w:val="0"/>
          <w:marRight w:val="0"/>
          <w:marTop w:val="0"/>
          <w:marBottom w:val="0"/>
          <w:divBdr>
            <w:top w:val="none" w:sz="0" w:space="0" w:color="auto"/>
            <w:left w:val="none" w:sz="0" w:space="0" w:color="auto"/>
            <w:bottom w:val="none" w:sz="0" w:space="0" w:color="auto"/>
            <w:right w:val="none" w:sz="0" w:space="0" w:color="auto"/>
          </w:divBdr>
        </w:div>
        <w:div w:id="273950299">
          <w:marLeft w:val="0"/>
          <w:marRight w:val="0"/>
          <w:marTop w:val="0"/>
          <w:marBottom w:val="0"/>
          <w:divBdr>
            <w:top w:val="none" w:sz="0" w:space="0" w:color="auto"/>
            <w:left w:val="none" w:sz="0" w:space="0" w:color="auto"/>
            <w:bottom w:val="none" w:sz="0" w:space="0" w:color="auto"/>
            <w:right w:val="none" w:sz="0" w:space="0" w:color="auto"/>
          </w:divBdr>
        </w:div>
        <w:div w:id="19205960">
          <w:marLeft w:val="0"/>
          <w:marRight w:val="0"/>
          <w:marTop w:val="0"/>
          <w:marBottom w:val="0"/>
          <w:divBdr>
            <w:top w:val="none" w:sz="0" w:space="0" w:color="auto"/>
            <w:left w:val="none" w:sz="0" w:space="0" w:color="auto"/>
            <w:bottom w:val="none" w:sz="0" w:space="0" w:color="auto"/>
            <w:right w:val="none" w:sz="0" w:space="0" w:color="auto"/>
          </w:divBdr>
        </w:div>
        <w:div w:id="1287589387">
          <w:marLeft w:val="0"/>
          <w:marRight w:val="0"/>
          <w:marTop w:val="0"/>
          <w:marBottom w:val="0"/>
          <w:divBdr>
            <w:top w:val="none" w:sz="0" w:space="0" w:color="auto"/>
            <w:left w:val="none" w:sz="0" w:space="0" w:color="auto"/>
            <w:bottom w:val="none" w:sz="0" w:space="0" w:color="auto"/>
            <w:right w:val="none" w:sz="0" w:space="0" w:color="auto"/>
          </w:divBdr>
        </w:div>
        <w:div w:id="1791774568">
          <w:marLeft w:val="0"/>
          <w:marRight w:val="0"/>
          <w:marTop w:val="0"/>
          <w:marBottom w:val="0"/>
          <w:divBdr>
            <w:top w:val="none" w:sz="0" w:space="0" w:color="auto"/>
            <w:left w:val="none" w:sz="0" w:space="0" w:color="auto"/>
            <w:bottom w:val="none" w:sz="0" w:space="0" w:color="auto"/>
            <w:right w:val="none" w:sz="0" w:space="0" w:color="auto"/>
          </w:divBdr>
        </w:div>
        <w:div w:id="1031036136">
          <w:marLeft w:val="0"/>
          <w:marRight w:val="0"/>
          <w:marTop w:val="0"/>
          <w:marBottom w:val="0"/>
          <w:divBdr>
            <w:top w:val="none" w:sz="0" w:space="0" w:color="auto"/>
            <w:left w:val="none" w:sz="0" w:space="0" w:color="auto"/>
            <w:bottom w:val="none" w:sz="0" w:space="0" w:color="auto"/>
            <w:right w:val="none" w:sz="0" w:space="0" w:color="auto"/>
          </w:divBdr>
        </w:div>
        <w:div w:id="721832472">
          <w:marLeft w:val="0"/>
          <w:marRight w:val="0"/>
          <w:marTop w:val="0"/>
          <w:marBottom w:val="0"/>
          <w:divBdr>
            <w:top w:val="none" w:sz="0" w:space="0" w:color="auto"/>
            <w:left w:val="none" w:sz="0" w:space="0" w:color="auto"/>
            <w:bottom w:val="none" w:sz="0" w:space="0" w:color="auto"/>
            <w:right w:val="none" w:sz="0" w:space="0" w:color="auto"/>
          </w:divBdr>
        </w:div>
        <w:div w:id="620961337">
          <w:marLeft w:val="0"/>
          <w:marRight w:val="0"/>
          <w:marTop w:val="0"/>
          <w:marBottom w:val="0"/>
          <w:divBdr>
            <w:top w:val="none" w:sz="0" w:space="0" w:color="auto"/>
            <w:left w:val="none" w:sz="0" w:space="0" w:color="auto"/>
            <w:bottom w:val="none" w:sz="0" w:space="0" w:color="auto"/>
            <w:right w:val="none" w:sz="0" w:space="0" w:color="auto"/>
          </w:divBdr>
        </w:div>
      </w:divsChild>
    </w:div>
    <w:div w:id="587734121">
      <w:bodyDiv w:val="1"/>
      <w:marLeft w:val="0"/>
      <w:marRight w:val="0"/>
      <w:marTop w:val="0"/>
      <w:marBottom w:val="0"/>
      <w:divBdr>
        <w:top w:val="none" w:sz="0" w:space="0" w:color="auto"/>
        <w:left w:val="none" w:sz="0" w:space="0" w:color="auto"/>
        <w:bottom w:val="none" w:sz="0" w:space="0" w:color="auto"/>
        <w:right w:val="none" w:sz="0" w:space="0" w:color="auto"/>
      </w:divBdr>
      <w:divsChild>
        <w:div w:id="966086939">
          <w:marLeft w:val="0"/>
          <w:marRight w:val="0"/>
          <w:marTop w:val="0"/>
          <w:marBottom w:val="0"/>
          <w:divBdr>
            <w:top w:val="none" w:sz="0" w:space="0" w:color="auto"/>
            <w:left w:val="none" w:sz="0" w:space="0" w:color="auto"/>
            <w:bottom w:val="none" w:sz="0" w:space="0" w:color="auto"/>
            <w:right w:val="none" w:sz="0" w:space="0" w:color="auto"/>
          </w:divBdr>
          <w:divsChild>
            <w:div w:id="1486700454">
              <w:marLeft w:val="0"/>
              <w:marRight w:val="0"/>
              <w:marTop w:val="0"/>
              <w:marBottom w:val="0"/>
              <w:divBdr>
                <w:top w:val="none" w:sz="0" w:space="0" w:color="auto"/>
                <w:left w:val="none" w:sz="0" w:space="0" w:color="auto"/>
                <w:bottom w:val="none" w:sz="0" w:space="0" w:color="auto"/>
                <w:right w:val="none" w:sz="0" w:space="0" w:color="auto"/>
              </w:divBdr>
            </w:div>
            <w:div w:id="1848709943">
              <w:marLeft w:val="0"/>
              <w:marRight w:val="0"/>
              <w:marTop w:val="0"/>
              <w:marBottom w:val="0"/>
              <w:divBdr>
                <w:top w:val="none" w:sz="0" w:space="0" w:color="auto"/>
                <w:left w:val="none" w:sz="0" w:space="0" w:color="auto"/>
                <w:bottom w:val="none" w:sz="0" w:space="0" w:color="auto"/>
                <w:right w:val="none" w:sz="0" w:space="0" w:color="auto"/>
              </w:divBdr>
            </w:div>
          </w:divsChild>
        </w:div>
        <w:div w:id="1531147179">
          <w:marLeft w:val="0"/>
          <w:marRight w:val="0"/>
          <w:marTop w:val="0"/>
          <w:marBottom w:val="0"/>
          <w:divBdr>
            <w:top w:val="none" w:sz="0" w:space="0" w:color="auto"/>
            <w:left w:val="none" w:sz="0" w:space="0" w:color="auto"/>
            <w:bottom w:val="none" w:sz="0" w:space="0" w:color="auto"/>
            <w:right w:val="none" w:sz="0" w:space="0" w:color="auto"/>
          </w:divBdr>
          <w:divsChild>
            <w:div w:id="1692683075">
              <w:marLeft w:val="0"/>
              <w:marRight w:val="0"/>
              <w:marTop w:val="0"/>
              <w:marBottom w:val="0"/>
              <w:divBdr>
                <w:top w:val="none" w:sz="0" w:space="0" w:color="auto"/>
                <w:left w:val="none" w:sz="0" w:space="0" w:color="auto"/>
                <w:bottom w:val="none" w:sz="0" w:space="0" w:color="auto"/>
                <w:right w:val="none" w:sz="0" w:space="0" w:color="auto"/>
              </w:divBdr>
            </w:div>
            <w:div w:id="1479615626">
              <w:marLeft w:val="0"/>
              <w:marRight w:val="0"/>
              <w:marTop w:val="0"/>
              <w:marBottom w:val="0"/>
              <w:divBdr>
                <w:top w:val="none" w:sz="0" w:space="0" w:color="auto"/>
                <w:left w:val="none" w:sz="0" w:space="0" w:color="auto"/>
                <w:bottom w:val="none" w:sz="0" w:space="0" w:color="auto"/>
                <w:right w:val="none" w:sz="0" w:space="0" w:color="auto"/>
              </w:divBdr>
            </w:div>
            <w:div w:id="1435133671">
              <w:marLeft w:val="0"/>
              <w:marRight w:val="0"/>
              <w:marTop w:val="0"/>
              <w:marBottom w:val="0"/>
              <w:divBdr>
                <w:top w:val="none" w:sz="0" w:space="0" w:color="auto"/>
                <w:left w:val="none" w:sz="0" w:space="0" w:color="auto"/>
                <w:bottom w:val="none" w:sz="0" w:space="0" w:color="auto"/>
                <w:right w:val="none" w:sz="0" w:space="0" w:color="auto"/>
              </w:divBdr>
            </w:div>
            <w:div w:id="1128815161">
              <w:marLeft w:val="0"/>
              <w:marRight w:val="0"/>
              <w:marTop w:val="0"/>
              <w:marBottom w:val="0"/>
              <w:divBdr>
                <w:top w:val="none" w:sz="0" w:space="0" w:color="auto"/>
                <w:left w:val="none" w:sz="0" w:space="0" w:color="auto"/>
                <w:bottom w:val="none" w:sz="0" w:space="0" w:color="auto"/>
                <w:right w:val="none" w:sz="0" w:space="0" w:color="auto"/>
              </w:divBdr>
            </w:div>
            <w:div w:id="785005308">
              <w:marLeft w:val="0"/>
              <w:marRight w:val="0"/>
              <w:marTop w:val="0"/>
              <w:marBottom w:val="0"/>
              <w:divBdr>
                <w:top w:val="none" w:sz="0" w:space="0" w:color="auto"/>
                <w:left w:val="none" w:sz="0" w:space="0" w:color="auto"/>
                <w:bottom w:val="none" w:sz="0" w:space="0" w:color="auto"/>
                <w:right w:val="none" w:sz="0" w:space="0" w:color="auto"/>
              </w:divBdr>
            </w:div>
            <w:div w:id="722561504">
              <w:marLeft w:val="0"/>
              <w:marRight w:val="0"/>
              <w:marTop w:val="0"/>
              <w:marBottom w:val="0"/>
              <w:divBdr>
                <w:top w:val="none" w:sz="0" w:space="0" w:color="auto"/>
                <w:left w:val="none" w:sz="0" w:space="0" w:color="auto"/>
                <w:bottom w:val="none" w:sz="0" w:space="0" w:color="auto"/>
                <w:right w:val="none" w:sz="0" w:space="0" w:color="auto"/>
              </w:divBdr>
            </w:div>
            <w:div w:id="1815678371">
              <w:marLeft w:val="0"/>
              <w:marRight w:val="0"/>
              <w:marTop w:val="0"/>
              <w:marBottom w:val="0"/>
              <w:divBdr>
                <w:top w:val="none" w:sz="0" w:space="0" w:color="auto"/>
                <w:left w:val="none" w:sz="0" w:space="0" w:color="auto"/>
                <w:bottom w:val="none" w:sz="0" w:space="0" w:color="auto"/>
                <w:right w:val="none" w:sz="0" w:space="0" w:color="auto"/>
              </w:divBdr>
            </w:div>
            <w:div w:id="10135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104463">
      <w:bodyDiv w:val="1"/>
      <w:marLeft w:val="0"/>
      <w:marRight w:val="0"/>
      <w:marTop w:val="0"/>
      <w:marBottom w:val="0"/>
      <w:divBdr>
        <w:top w:val="none" w:sz="0" w:space="0" w:color="auto"/>
        <w:left w:val="none" w:sz="0" w:space="0" w:color="auto"/>
        <w:bottom w:val="none" w:sz="0" w:space="0" w:color="auto"/>
        <w:right w:val="none" w:sz="0" w:space="0" w:color="auto"/>
      </w:divBdr>
      <w:divsChild>
        <w:div w:id="1164205775">
          <w:marLeft w:val="0"/>
          <w:marRight w:val="0"/>
          <w:marTop w:val="0"/>
          <w:marBottom w:val="0"/>
          <w:divBdr>
            <w:top w:val="none" w:sz="0" w:space="0" w:color="auto"/>
            <w:left w:val="none" w:sz="0" w:space="0" w:color="auto"/>
            <w:bottom w:val="none" w:sz="0" w:space="0" w:color="auto"/>
            <w:right w:val="none" w:sz="0" w:space="0" w:color="auto"/>
          </w:divBdr>
        </w:div>
        <w:div w:id="1364139006">
          <w:marLeft w:val="0"/>
          <w:marRight w:val="0"/>
          <w:marTop w:val="0"/>
          <w:marBottom w:val="0"/>
          <w:divBdr>
            <w:top w:val="none" w:sz="0" w:space="0" w:color="auto"/>
            <w:left w:val="none" w:sz="0" w:space="0" w:color="auto"/>
            <w:bottom w:val="none" w:sz="0" w:space="0" w:color="auto"/>
            <w:right w:val="none" w:sz="0" w:space="0" w:color="auto"/>
          </w:divBdr>
        </w:div>
        <w:div w:id="1852600318">
          <w:marLeft w:val="0"/>
          <w:marRight w:val="0"/>
          <w:marTop w:val="0"/>
          <w:marBottom w:val="0"/>
          <w:divBdr>
            <w:top w:val="none" w:sz="0" w:space="0" w:color="auto"/>
            <w:left w:val="none" w:sz="0" w:space="0" w:color="auto"/>
            <w:bottom w:val="none" w:sz="0" w:space="0" w:color="auto"/>
            <w:right w:val="none" w:sz="0" w:space="0" w:color="auto"/>
          </w:divBdr>
        </w:div>
        <w:div w:id="260988800">
          <w:marLeft w:val="0"/>
          <w:marRight w:val="0"/>
          <w:marTop w:val="0"/>
          <w:marBottom w:val="0"/>
          <w:divBdr>
            <w:top w:val="none" w:sz="0" w:space="0" w:color="auto"/>
            <w:left w:val="none" w:sz="0" w:space="0" w:color="auto"/>
            <w:bottom w:val="none" w:sz="0" w:space="0" w:color="auto"/>
            <w:right w:val="none" w:sz="0" w:space="0" w:color="auto"/>
          </w:divBdr>
        </w:div>
        <w:div w:id="1479954204">
          <w:marLeft w:val="0"/>
          <w:marRight w:val="0"/>
          <w:marTop w:val="0"/>
          <w:marBottom w:val="0"/>
          <w:divBdr>
            <w:top w:val="none" w:sz="0" w:space="0" w:color="auto"/>
            <w:left w:val="none" w:sz="0" w:space="0" w:color="auto"/>
            <w:bottom w:val="none" w:sz="0" w:space="0" w:color="auto"/>
            <w:right w:val="none" w:sz="0" w:space="0" w:color="auto"/>
          </w:divBdr>
        </w:div>
        <w:div w:id="326981572">
          <w:marLeft w:val="0"/>
          <w:marRight w:val="0"/>
          <w:marTop w:val="0"/>
          <w:marBottom w:val="0"/>
          <w:divBdr>
            <w:top w:val="none" w:sz="0" w:space="0" w:color="auto"/>
            <w:left w:val="none" w:sz="0" w:space="0" w:color="auto"/>
            <w:bottom w:val="none" w:sz="0" w:space="0" w:color="auto"/>
            <w:right w:val="none" w:sz="0" w:space="0" w:color="auto"/>
          </w:divBdr>
        </w:div>
        <w:div w:id="1258100792">
          <w:marLeft w:val="0"/>
          <w:marRight w:val="0"/>
          <w:marTop w:val="0"/>
          <w:marBottom w:val="0"/>
          <w:divBdr>
            <w:top w:val="none" w:sz="0" w:space="0" w:color="auto"/>
            <w:left w:val="none" w:sz="0" w:space="0" w:color="auto"/>
            <w:bottom w:val="none" w:sz="0" w:space="0" w:color="auto"/>
            <w:right w:val="none" w:sz="0" w:space="0" w:color="auto"/>
          </w:divBdr>
        </w:div>
        <w:div w:id="752706655">
          <w:marLeft w:val="0"/>
          <w:marRight w:val="0"/>
          <w:marTop w:val="0"/>
          <w:marBottom w:val="0"/>
          <w:divBdr>
            <w:top w:val="none" w:sz="0" w:space="0" w:color="auto"/>
            <w:left w:val="none" w:sz="0" w:space="0" w:color="auto"/>
            <w:bottom w:val="none" w:sz="0" w:space="0" w:color="auto"/>
            <w:right w:val="none" w:sz="0" w:space="0" w:color="auto"/>
          </w:divBdr>
        </w:div>
        <w:div w:id="2139757852">
          <w:marLeft w:val="0"/>
          <w:marRight w:val="0"/>
          <w:marTop w:val="0"/>
          <w:marBottom w:val="0"/>
          <w:divBdr>
            <w:top w:val="none" w:sz="0" w:space="0" w:color="auto"/>
            <w:left w:val="none" w:sz="0" w:space="0" w:color="auto"/>
            <w:bottom w:val="none" w:sz="0" w:space="0" w:color="auto"/>
            <w:right w:val="none" w:sz="0" w:space="0" w:color="auto"/>
          </w:divBdr>
        </w:div>
        <w:div w:id="1464688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nationalwomenshealth.adhb.govt.nz/health-professionals/induction-of-labo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spec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3971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Wise</dc:creator>
  <cp:lastModifiedBy>National Womens Womens Assessment Unit (ADHB)</cp:lastModifiedBy>
  <cp:revision>2</cp:revision>
  <dcterms:created xsi:type="dcterms:W3CDTF">2017-09-26T01:43:00Z</dcterms:created>
  <dcterms:modified xsi:type="dcterms:W3CDTF">2017-09-26T01:43:00Z</dcterms:modified>
</cp:coreProperties>
</file>